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105"/>
        <w:jc w:val="right"/>
        <w:rPr>
          <w:rFonts w:asciiTheme="majorEastAsia" w:hAnsiTheme="majorEastAsia" w:eastAsiaTheme="majorEastAsia"/>
          <w:b/>
          <w:color w:val="080373"/>
          <w:spacing w:val="40"/>
          <w:w w:val="66"/>
          <w:sz w:val="60"/>
          <w:szCs w:val="60"/>
        </w:rPr>
      </w:pPr>
      <w:r>
        <w:rPr>
          <w:rFonts w:hint="eastAsia" w:asciiTheme="majorEastAsia" w:hAnsiTheme="majorEastAsia" w:eastAsiaTheme="majorEastAsia"/>
          <w:b/>
          <w:color w:val="080373"/>
          <w:spacing w:val="40"/>
          <w:w w:val="66"/>
          <w:sz w:val="60"/>
          <w:szCs w:val="60"/>
        </w:rPr>
        <w:t>长春市九台区人民医院</w:t>
      </w:r>
    </w:p>
    <w:p>
      <w:pPr>
        <w:ind w:right="105"/>
        <w:jc w:val="right"/>
        <w:rPr>
          <w:rFonts w:asciiTheme="majorEastAsia" w:hAnsiTheme="majorEastAsia" w:eastAsiaTheme="majorEastAsia"/>
          <w:b/>
          <w:color w:val="080373"/>
          <w:spacing w:val="40"/>
          <w:w w:val="66"/>
          <w:sz w:val="32"/>
          <w:szCs w:val="32"/>
        </w:rPr>
      </w:pPr>
      <w:r>
        <w:rPr>
          <w:rFonts w:hint="eastAsia" w:asciiTheme="majorEastAsia" w:hAnsiTheme="majorEastAsia" w:eastAsiaTheme="majorEastAsia"/>
          <w:b/>
          <w:color w:val="080373"/>
          <w:spacing w:val="40"/>
          <w:w w:val="66"/>
          <w:sz w:val="32"/>
          <w:szCs w:val="32"/>
        </w:rPr>
        <w:t>网络安全设备及升级维保项目</w:t>
      </w:r>
    </w:p>
    <w:p>
      <w:pPr>
        <w:ind w:right="105"/>
        <w:jc w:val="right"/>
        <w:rPr>
          <w:rFonts w:asciiTheme="majorEastAsia" w:hAnsiTheme="majorEastAsia" w:eastAsiaTheme="majorEastAsia"/>
          <w:b/>
          <w:color w:val="0070C0"/>
          <w:spacing w:val="40"/>
          <w:w w:val="66"/>
          <w:sz w:val="32"/>
          <w:szCs w:val="32"/>
        </w:rPr>
      </w:pPr>
      <w:r>
        <w:rPr>
          <w:rFonts w:hint="eastAsia" w:asciiTheme="majorEastAsia" w:hAnsiTheme="majorEastAsia" w:eastAsiaTheme="majorEastAsia"/>
          <w:b/>
          <w:color w:val="080373"/>
          <w:spacing w:val="40"/>
          <w:w w:val="66"/>
          <w:sz w:val="32"/>
          <w:szCs w:val="32"/>
        </w:rPr>
        <w:t>询价采购公告</w:t>
      </w:r>
    </w:p>
    <w:p>
      <w:pPr>
        <w:ind w:right="1025"/>
        <w:jc w:val="center"/>
        <w:rPr>
          <w:rFonts w:eastAsia="黑体"/>
          <w:b/>
          <w:color w:val="333399"/>
          <w:spacing w:val="40"/>
          <w:w w:val="66"/>
          <w:sz w:val="60"/>
          <w:szCs w:val="60"/>
        </w:rPr>
      </w:pPr>
    </w:p>
    <w:p>
      <w:pPr>
        <w:jc w:val="center"/>
        <w:rPr>
          <w:rFonts w:eastAsia="黑体"/>
          <w:b/>
          <w:color w:val="333399"/>
          <w:spacing w:val="40"/>
          <w:w w:val="66"/>
          <w:sz w:val="15"/>
          <w:szCs w:val="15"/>
        </w:rPr>
      </w:pPr>
      <w:r>
        <w:rPr>
          <w:rFonts w:eastAsia="黑体"/>
          <w:b/>
          <w:color w:val="333399"/>
          <w:spacing w:val="40"/>
          <w:w w:val="66"/>
          <w:sz w:val="56"/>
          <w:szCs w:val="56"/>
        </w:rPr>
        <w:t xml:space="preserve">            </w:t>
      </w:r>
    </w:p>
    <w:p>
      <w:pPr>
        <w:jc w:val="center"/>
        <w:rPr>
          <w:rFonts w:ascii="黑体" w:eastAsia="黑体"/>
          <w:b/>
          <w:color w:val="7030A0"/>
          <w:spacing w:val="40"/>
          <w:w w:val="66"/>
          <w:sz w:val="32"/>
          <w:szCs w:val="32"/>
        </w:rPr>
      </w:pPr>
      <w:r>
        <w:rPr>
          <w:rFonts w:hint="eastAsia" w:ascii="黑体" w:eastAsia="黑体"/>
          <w:b/>
          <w:color w:val="7030A0"/>
          <w:spacing w:val="40"/>
          <w:w w:val="66"/>
          <w:sz w:val="32"/>
          <w:szCs w:val="32"/>
        </w:rPr>
        <w:t>（项目编号：</w:t>
      </w:r>
      <w:r>
        <w:rPr>
          <w:rFonts w:ascii="黑体" w:hAnsi="宋体" w:eastAsia="黑体"/>
          <w:b/>
          <w:bCs/>
          <w:color w:val="FF0000"/>
          <w:sz w:val="32"/>
          <w:szCs w:val="32"/>
        </w:rPr>
        <w:t>JTQRMYYWLZX2023001</w:t>
      </w:r>
      <w:r>
        <w:rPr>
          <w:rFonts w:hint="eastAsia" w:ascii="黑体" w:eastAsia="黑体"/>
          <w:b/>
          <w:color w:val="7030A0"/>
          <w:spacing w:val="40"/>
          <w:w w:val="66"/>
          <w:sz w:val="32"/>
          <w:szCs w:val="32"/>
        </w:rPr>
        <w:t>）</w:t>
      </w:r>
    </w:p>
    <w:p>
      <w:pPr>
        <w:rPr>
          <w:color w:val="333399"/>
          <w:sz w:val="40"/>
        </w:rPr>
      </w:pPr>
    </w:p>
    <w:p>
      <w:pPr>
        <w:ind w:firstLine="600" w:firstLineChars="200"/>
        <w:rPr>
          <w:rFonts w:ascii="黑体" w:eastAsia="黑体"/>
          <w:color w:val="7030A0"/>
          <w:sz w:val="30"/>
          <w:szCs w:val="30"/>
        </w:rPr>
      </w:pPr>
      <w:r>
        <w:rPr>
          <w:rFonts w:hint="eastAsia" w:ascii="黑体" w:eastAsia="黑体"/>
          <w:color w:val="7030A0"/>
          <w:sz w:val="30"/>
          <w:szCs w:val="30"/>
        </w:rPr>
        <w:t>长春市九台区人民医院网络信息中心，经医院设备采购管理委员会审批，对网络安全设备及升级维保项目进行询价采购，欢迎符合投标人资格要求的单位参加本次采购活动。</w:t>
      </w:r>
    </w:p>
    <w:p>
      <w:pPr>
        <w:rPr>
          <w:color w:val="333399"/>
          <w:sz w:val="36"/>
        </w:rPr>
      </w:pPr>
    </w:p>
    <w:p>
      <w:pPr>
        <w:rPr>
          <w:color w:val="333399"/>
          <w:sz w:val="36"/>
        </w:rPr>
      </w:pPr>
    </w:p>
    <w:p>
      <w:pPr>
        <w:rPr>
          <w:color w:val="333399"/>
          <w:sz w:val="36"/>
        </w:rPr>
      </w:pPr>
    </w:p>
    <w:p>
      <w:pPr>
        <w:rPr>
          <w:color w:val="333399"/>
          <w:sz w:val="36"/>
        </w:rPr>
      </w:pPr>
    </w:p>
    <w:p>
      <w:pPr>
        <w:rPr>
          <w:color w:val="333399"/>
          <w:sz w:val="36"/>
        </w:rPr>
      </w:pPr>
    </w:p>
    <w:p>
      <w:pPr>
        <w:ind w:firstLine="3135" w:firstLineChars="1493"/>
        <w:rPr>
          <w:rFonts w:eastAsia="黑体"/>
          <w:color w:val="333399"/>
          <w:spacing w:val="20"/>
          <w:w w:val="66"/>
          <w:sz w:val="44"/>
          <w:szCs w:val="44"/>
        </w:rPr>
      </w:pPr>
      <w:r>
        <w:drawing>
          <wp:inline distT="0" distB="0" distL="0" distR="0">
            <wp:extent cx="876300" cy="771525"/>
            <wp:effectExtent l="19050" t="0" r="0"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九台市人民医院院标、.jpg"/>
                    <pic:cNvPicPr>
                      <a:picLocks noChangeAspect="1"/>
                    </pic:cNvPicPr>
                  </pic:nvPicPr>
                  <pic:blipFill>
                    <a:blip r:embed="rId4" cstate="print"/>
                    <a:stretch>
                      <a:fillRect/>
                    </a:stretch>
                  </pic:blipFill>
                  <pic:spPr>
                    <a:xfrm>
                      <a:off x="0" y="0"/>
                      <a:ext cx="876547" cy="771742"/>
                    </a:xfrm>
                    <a:prstGeom prst="rect">
                      <a:avLst/>
                    </a:prstGeom>
                  </pic:spPr>
                </pic:pic>
              </a:graphicData>
            </a:graphic>
          </wp:inline>
        </w:drawing>
      </w:r>
      <w:r>
        <w:rPr>
          <w:rFonts w:hint="eastAsia" w:eastAsia="黑体"/>
          <w:color w:val="333399"/>
          <w:spacing w:val="20"/>
          <w:w w:val="66"/>
          <w:sz w:val="44"/>
          <w:szCs w:val="44"/>
        </w:rPr>
        <w:t xml:space="preserve">   九台区人民医院</w:t>
      </w:r>
    </w:p>
    <w:p>
      <w:pPr>
        <w:tabs>
          <w:tab w:val="left" w:pos="3281"/>
          <w:tab w:val="center" w:pos="4711"/>
        </w:tabs>
        <w:jc w:val="center"/>
        <w:rPr>
          <w:rFonts w:eastAsia="仿宋_GB2312"/>
          <w:b/>
          <w:bCs/>
          <w:color w:val="333399"/>
          <w:kern w:val="0"/>
          <w:sz w:val="44"/>
          <w:szCs w:val="44"/>
        </w:rPr>
      </w:pPr>
    </w:p>
    <w:p>
      <w:pPr>
        <w:tabs>
          <w:tab w:val="left" w:pos="3281"/>
          <w:tab w:val="center" w:pos="4711"/>
        </w:tabs>
        <w:jc w:val="center"/>
        <w:rPr>
          <w:rFonts w:eastAsia="仿宋_GB2312"/>
          <w:b/>
          <w:bCs/>
          <w:color w:val="333399"/>
          <w:kern w:val="0"/>
          <w:sz w:val="44"/>
          <w:szCs w:val="44"/>
        </w:rPr>
      </w:pPr>
      <w:r>
        <w:rPr>
          <w:rFonts w:hint="eastAsia" w:eastAsia="仿宋_GB2312"/>
          <w:b/>
          <w:bCs/>
          <w:color w:val="333399"/>
          <w:kern w:val="0"/>
          <w:sz w:val="44"/>
          <w:szCs w:val="44"/>
        </w:rPr>
        <w:t xml:space="preserve">                2023.12</w:t>
      </w:r>
    </w:p>
    <w:p>
      <w:pPr>
        <w:adjustRightInd w:val="0"/>
        <w:snapToGrid w:val="0"/>
        <w:spacing w:line="276" w:lineRule="auto"/>
        <w:jc w:val="center"/>
        <w:rPr>
          <w:rFonts w:ascii="宋体" w:hAnsi="宋体"/>
          <w:b/>
          <w:color w:val="000000"/>
          <w:sz w:val="28"/>
          <w:szCs w:val="28"/>
        </w:rPr>
      </w:pPr>
    </w:p>
    <w:p>
      <w:pPr>
        <w:adjustRightInd w:val="0"/>
        <w:snapToGrid w:val="0"/>
        <w:spacing w:line="276" w:lineRule="auto"/>
        <w:jc w:val="center"/>
        <w:rPr>
          <w:rFonts w:ascii="宋体" w:hAnsi="宋体"/>
          <w:b/>
          <w:color w:val="000000"/>
          <w:sz w:val="28"/>
          <w:szCs w:val="28"/>
        </w:rPr>
      </w:pPr>
    </w:p>
    <w:p>
      <w:pPr>
        <w:adjustRightInd w:val="0"/>
        <w:snapToGrid w:val="0"/>
        <w:spacing w:line="276" w:lineRule="auto"/>
        <w:jc w:val="center"/>
        <w:rPr>
          <w:rFonts w:ascii="宋体" w:hAnsi="宋体"/>
          <w:b/>
          <w:color w:val="000000"/>
          <w:sz w:val="28"/>
          <w:szCs w:val="28"/>
        </w:rPr>
      </w:pPr>
    </w:p>
    <w:p>
      <w:pPr>
        <w:adjustRightInd w:val="0"/>
        <w:snapToGrid w:val="0"/>
        <w:spacing w:line="276" w:lineRule="auto"/>
        <w:jc w:val="center"/>
        <w:rPr>
          <w:rFonts w:ascii="宋体" w:hAnsi="宋体"/>
          <w:b/>
          <w:color w:val="000000"/>
          <w:sz w:val="28"/>
          <w:szCs w:val="28"/>
        </w:rPr>
      </w:pPr>
    </w:p>
    <w:p>
      <w:pPr>
        <w:adjustRightInd w:val="0"/>
        <w:snapToGrid w:val="0"/>
        <w:spacing w:line="276" w:lineRule="auto"/>
        <w:jc w:val="center"/>
        <w:rPr>
          <w:rFonts w:ascii="宋体" w:hAnsi="宋体"/>
          <w:b/>
          <w:color w:val="000000"/>
          <w:sz w:val="28"/>
          <w:szCs w:val="28"/>
        </w:rPr>
      </w:pPr>
    </w:p>
    <w:p>
      <w:pPr>
        <w:adjustRightInd w:val="0"/>
        <w:snapToGrid w:val="0"/>
        <w:spacing w:line="276" w:lineRule="auto"/>
        <w:jc w:val="center"/>
        <w:rPr>
          <w:rFonts w:ascii="宋体" w:hAnsi="宋体"/>
          <w:b/>
          <w:color w:val="000000"/>
          <w:sz w:val="28"/>
          <w:szCs w:val="28"/>
        </w:rPr>
      </w:pPr>
      <w:r>
        <w:rPr>
          <w:rFonts w:hint="eastAsia" w:ascii="宋体" w:hAnsi="宋体"/>
          <w:b/>
          <w:color w:val="000000"/>
          <w:sz w:val="28"/>
          <w:szCs w:val="28"/>
        </w:rPr>
        <w:t>第一部分 招标公告</w:t>
      </w:r>
    </w:p>
    <w:p>
      <w:pPr>
        <w:wordWrap w:val="0"/>
        <w:spacing w:line="276" w:lineRule="auto"/>
        <w:jc w:val="right"/>
        <w:rPr>
          <w:rFonts w:ascii="宋体" w:hAnsi="宋体"/>
          <w:color w:val="FF0000"/>
          <w:szCs w:val="21"/>
        </w:rPr>
      </w:pPr>
      <w:r>
        <w:rPr>
          <w:rFonts w:hint="eastAsia" w:ascii="宋体" w:hAnsi="宋体"/>
          <w:b/>
          <w:bCs/>
          <w:color w:val="FF0000"/>
          <w:szCs w:val="21"/>
        </w:rPr>
        <w:t>招标项目编号：</w:t>
      </w:r>
      <w:r>
        <w:rPr>
          <w:rFonts w:ascii="宋体" w:hAnsi="宋体"/>
          <w:b/>
          <w:bCs/>
          <w:color w:val="FF0000"/>
          <w:szCs w:val="21"/>
        </w:rPr>
        <w:t>JTQRMYYWLZX2023001</w:t>
      </w:r>
      <w:r>
        <w:rPr>
          <w:rFonts w:ascii="宋体" w:hAnsi="宋体"/>
          <w:b/>
          <w:bCs/>
          <w:color w:val="FF0000"/>
          <w:szCs w:val="21"/>
          <w:lang w:eastAsia="zh-TW"/>
        </w:rPr>
        <w:t xml:space="preserve">              </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1.1招标条件</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本项目经医院设备采购管理委员会审批，项目已具备招标条件，现对本项目公开招标。</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1.2询价内容</w:t>
      </w:r>
    </w:p>
    <w:tbl>
      <w:tblPr>
        <w:tblStyle w:val="8"/>
        <w:tblW w:w="8940" w:type="dxa"/>
        <w:tblInd w:w="88" w:type="dxa"/>
        <w:tblLayout w:type="autofit"/>
        <w:tblCellMar>
          <w:top w:w="0" w:type="dxa"/>
          <w:left w:w="108" w:type="dxa"/>
          <w:bottom w:w="0" w:type="dxa"/>
          <w:right w:w="108" w:type="dxa"/>
        </w:tblCellMar>
      </w:tblPr>
      <w:tblGrid>
        <w:gridCol w:w="797"/>
        <w:gridCol w:w="1334"/>
        <w:gridCol w:w="5631"/>
        <w:gridCol w:w="589"/>
        <w:gridCol w:w="589"/>
      </w:tblGrid>
      <w:tr>
        <w:tblPrEx>
          <w:tblCellMar>
            <w:top w:w="0" w:type="dxa"/>
            <w:left w:w="108" w:type="dxa"/>
            <w:bottom w:w="0" w:type="dxa"/>
            <w:right w:w="108" w:type="dxa"/>
          </w:tblCellMar>
        </w:tblPrEx>
        <w:trPr>
          <w:trHeight w:val="270" w:hRule="atLeast"/>
        </w:trPr>
        <w:tc>
          <w:tcPr>
            <w:tcW w:w="79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类型</w:t>
            </w:r>
          </w:p>
        </w:tc>
        <w:tc>
          <w:tcPr>
            <w:tcW w:w="56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规格及技术性能</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单位</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数量</w:t>
            </w:r>
          </w:p>
        </w:tc>
      </w:tr>
      <w:tr>
        <w:tblPrEx>
          <w:tblCellMar>
            <w:top w:w="0" w:type="dxa"/>
            <w:left w:w="108" w:type="dxa"/>
            <w:bottom w:w="0" w:type="dxa"/>
            <w:right w:w="108" w:type="dxa"/>
          </w:tblCellMar>
        </w:tblPrEx>
        <w:trPr>
          <w:trHeight w:val="2700" w:hRule="atLeast"/>
        </w:trPr>
        <w:tc>
          <w:tcPr>
            <w:tcW w:w="79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硬件维保</w:t>
            </w:r>
          </w:p>
        </w:tc>
        <w:tc>
          <w:tcPr>
            <w:tcW w:w="56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1、硬件保修，免费更换损坏备件，无法修复的，提供同等性能或者高于现有机型的设备；</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2、包括机房内部所有硬件设备、楼层交换设备；</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3、包括650台PC电脑设备；</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4、提供故障移交手册；</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5、必要情况下提供备机备件。</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6、一年12次常规上门巡检，处理故障不限次数，24小时现场服务，重大节日4次驻场服务。</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r>
      <w:tr>
        <w:tblPrEx>
          <w:tblCellMar>
            <w:top w:w="0" w:type="dxa"/>
            <w:left w:w="108" w:type="dxa"/>
            <w:bottom w:w="0" w:type="dxa"/>
            <w:right w:w="108" w:type="dxa"/>
          </w:tblCellMar>
        </w:tblPrEx>
        <w:trPr>
          <w:trHeight w:val="4040" w:hRule="atLeast"/>
        </w:trPr>
        <w:tc>
          <w:tcPr>
            <w:tcW w:w="79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2</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终端准入</w:t>
            </w:r>
          </w:p>
        </w:tc>
        <w:tc>
          <w:tcPr>
            <w:tcW w:w="56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性能参数：网络层吞吐量（大包）：3.6Gb，应用层吞吐量：450Mb，IPSEC VPN加密性能（最高性能）：100Mb，支持用户数：800，准入终端数：800，包转发率：45Kpps，每秒新建连接数：4000，最大并发连接数：150000。</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硬件参数：规格：1U，内存大小：4G，硬盘容量：128G SSD，接口：6千兆电口。</w:t>
            </w:r>
            <w:r>
              <w:rPr>
                <w:rFonts w:hint="eastAsia" w:ascii="宋体" w:hAnsi="宋体" w:cs="宋体"/>
                <w:color w:val="000000"/>
                <w:kern w:val="0"/>
                <w:sz w:val="22"/>
                <w:szCs w:val="22"/>
                <w:lang w:bidi="ar"/>
              </w:rPr>
              <w:br w:type="textWrapping"/>
            </w:r>
            <w:r>
              <w:rPr>
                <w:rFonts w:hint="eastAsia" w:ascii="宋体" w:hAnsi="宋体" w:cs="宋体"/>
                <w:color w:val="000000"/>
                <w:kern w:val="0"/>
                <w:sz w:val="22"/>
                <w:szCs w:val="22"/>
                <w:lang w:bidi="ar"/>
              </w:rPr>
              <w:t>功能描述：支持Windows终端外联行为检查，包括：连接外网检查、PPPoE拨号检查、双网卡行为检查、无线网卡检查、链接非法WIFI检查（可设置合法WIFI白名单）、4G网卡检查、否使用非法网关（可设置合法网关白名单），对不满足检查要求的终端强制断网，支持向管理员告警，并弹窗提示用户；支持Windows桌面水印，支持设置水印的内容、透明度、密度，水印效果预览，离线时继续生效；支持与现有EDR产品实现联动，当检测到终端未安装EDR产品时，禁止上网并提示需要安装EDR终端软件；支持放通或封堵TCP\UDP端口、ICMP协议，可设置对所有IP或者指定IP执行，离线时继续生效；支持对终端应用联网管控，可设置禁止或允许访问互联网，禁止或允许访问指定IP地址，离线时继续生效；支持存储设备、网络设备、蓝牙设备、摄像头、打印机的使用管控；支持外设白名单，提供批量获取硬件ID的工具进行白名单配置；支持对U盘、移动硬盘设置可读写、拒绝、可读、告警；可对拷贝的文件内容以及插入和拔出行为的审计；含：全网行为管理系统软件V13.0(*1套);终端接入安全软件(*1套)，软件升级(*1年);产品质保(*1年)。</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rPr>
            </w:pPr>
            <w:r>
              <w:rPr>
                <w:rFonts w:hint="eastAsia" w:ascii="宋体" w:hAnsi="宋体" w:cs="宋体"/>
                <w:color w:val="000000"/>
                <w:sz w:val="22"/>
                <w:szCs w:val="22"/>
              </w:rPr>
              <w:t>台</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r>
      <w:tr>
        <w:tblPrEx>
          <w:tblCellMar>
            <w:top w:w="0" w:type="dxa"/>
            <w:left w:w="108" w:type="dxa"/>
            <w:bottom w:w="0" w:type="dxa"/>
            <w:right w:w="108" w:type="dxa"/>
          </w:tblCellMar>
        </w:tblPrEx>
        <w:trPr>
          <w:trHeight w:val="880" w:hRule="atLeast"/>
        </w:trPr>
        <w:tc>
          <w:tcPr>
            <w:tcW w:w="797"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软件升级</w:t>
            </w:r>
          </w:p>
        </w:tc>
        <w:tc>
          <w:tcPr>
            <w:tcW w:w="56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2"/>
                <w:szCs w:val="22"/>
              </w:rPr>
            </w:pPr>
            <w:r>
              <w:rPr>
                <w:rFonts w:hint="eastAsia" w:ascii="宋体" w:hAnsi="宋体" w:cs="宋体"/>
                <w:color w:val="000000"/>
                <w:kern w:val="0"/>
                <w:sz w:val="22"/>
                <w:szCs w:val="22"/>
                <w:lang w:bidi="ar"/>
              </w:rPr>
              <w:t>原有深信服杀毒软件EDR（SN:20654604247）1年升级服务，U口管理，实施服务。</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项</w:t>
            </w:r>
          </w:p>
        </w:tc>
        <w:tc>
          <w:tcPr>
            <w:tcW w:w="5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r>
    </w:tbl>
    <w:p>
      <w:pPr>
        <w:spacing w:line="276" w:lineRule="auto"/>
        <w:rPr>
          <w:rFonts w:ascii="华文仿宋" w:hAnsi="华文仿宋" w:eastAsia="华文仿宋"/>
          <w:bCs/>
          <w:sz w:val="28"/>
          <w:szCs w:val="28"/>
        </w:rPr>
      </w:pPr>
      <w:r>
        <w:rPr>
          <w:rFonts w:hint="eastAsia" w:ascii="华文仿宋" w:hAnsi="华文仿宋" w:eastAsia="华文仿宋"/>
          <w:bCs/>
          <w:sz w:val="28"/>
          <w:szCs w:val="28"/>
        </w:rPr>
        <w:t>服务地点：长春市九台区人民医院。</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1.3. 投标人资格条件</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1.3.1在中国注册的企业法人及其他组织，且经营范围符合项目要求。</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1.3.2具备独立承担民事责任的能力。</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1.3.3具备良好的商业信誉和健全的财务会计制度。</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1.3.4近三年内，在经营活动中没有重大违法记录。</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1.3.5能够提供增值税专用发票,具有一般纳税人资格。</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1.4. 项目预算：</w:t>
      </w:r>
      <w:r>
        <w:rPr>
          <w:rFonts w:hint="eastAsia" w:ascii="华文仿宋" w:hAnsi="华文仿宋" w:eastAsia="华文仿宋"/>
          <w:b/>
          <w:sz w:val="28"/>
          <w:szCs w:val="28"/>
          <w:lang w:val="en-US" w:eastAsia="zh-CN"/>
        </w:rPr>
        <w:t>19.5</w:t>
      </w:r>
      <w:r>
        <w:rPr>
          <w:rFonts w:hint="eastAsia" w:ascii="华文仿宋" w:hAnsi="华文仿宋" w:eastAsia="华文仿宋"/>
          <w:b/>
          <w:sz w:val="28"/>
          <w:szCs w:val="28"/>
        </w:rPr>
        <w:t>（万元）</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1.5.投标文件的递交</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1.5.1投标文件提交截止时间（开标时间）：自本项目采购公告发布之日起</w:t>
      </w:r>
      <w:r>
        <w:rPr>
          <w:rFonts w:hint="eastAsia" w:ascii="华文仿宋" w:hAnsi="华文仿宋" w:eastAsia="华文仿宋"/>
          <w:bCs/>
          <w:sz w:val="28"/>
          <w:szCs w:val="28"/>
          <w:lang w:val="en-US" w:eastAsia="zh-CN"/>
        </w:rPr>
        <w:t>五</w:t>
      </w:r>
      <w:r>
        <w:rPr>
          <w:rFonts w:hint="eastAsia" w:ascii="华文仿宋" w:hAnsi="华文仿宋" w:eastAsia="华文仿宋"/>
          <w:bCs/>
          <w:sz w:val="28"/>
          <w:szCs w:val="28"/>
        </w:rPr>
        <w:t>个工作日     ，</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 xml:space="preserve">地点：长春市九台区福星大街100号，长春市九台区人民医院网络中心   </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1.5.2逾期送达的或不符合规定的投标文件将被拒绝。</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 xml:space="preserve">1.6.联系方式 </w:t>
      </w:r>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联</w:t>
      </w:r>
      <w:r>
        <w:rPr>
          <w:rFonts w:hint="eastAsia" w:ascii="华文仿宋" w:hAnsi="华文仿宋" w:eastAsia="华文仿宋"/>
          <w:bCs/>
          <w:sz w:val="28"/>
          <w:szCs w:val="28"/>
          <w:lang w:val="en-US" w:eastAsia="zh-CN"/>
        </w:rPr>
        <w:t xml:space="preserve"> </w:t>
      </w:r>
      <w:r>
        <w:rPr>
          <w:rFonts w:hint="eastAsia" w:ascii="华文仿宋" w:hAnsi="华文仿宋" w:eastAsia="华文仿宋"/>
          <w:bCs/>
          <w:sz w:val="28"/>
          <w:szCs w:val="28"/>
        </w:rPr>
        <w:t>系</w:t>
      </w:r>
      <w:r>
        <w:rPr>
          <w:rFonts w:hint="eastAsia" w:ascii="华文仿宋" w:hAnsi="华文仿宋" w:eastAsia="华文仿宋"/>
          <w:bCs/>
          <w:sz w:val="28"/>
          <w:szCs w:val="28"/>
          <w:lang w:val="en-US" w:eastAsia="zh-CN"/>
        </w:rPr>
        <w:t xml:space="preserve"> </w:t>
      </w:r>
      <w:r>
        <w:rPr>
          <w:rFonts w:hint="eastAsia" w:ascii="华文仿宋" w:hAnsi="华文仿宋" w:eastAsia="华文仿宋"/>
          <w:bCs/>
          <w:sz w:val="28"/>
          <w:szCs w:val="28"/>
        </w:rPr>
        <w:t>人：刘海燕</w:t>
      </w:r>
      <w:bookmarkStart w:id="0" w:name="_GoBack"/>
      <w:bookmarkEnd w:id="0"/>
    </w:p>
    <w:p>
      <w:pPr>
        <w:spacing w:line="276" w:lineRule="auto"/>
        <w:rPr>
          <w:rFonts w:ascii="华文仿宋" w:hAnsi="华文仿宋" w:eastAsia="华文仿宋"/>
          <w:bCs/>
          <w:sz w:val="28"/>
          <w:szCs w:val="28"/>
        </w:rPr>
      </w:pPr>
      <w:r>
        <w:rPr>
          <w:rFonts w:hint="eastAsia" w:ascii="华文仿宋" w:hAnsi="华文仿宋" w:eastAsia="华文仿宋"/>
          <w:bCs/>
          <w:sz w:val="28"/>
          <w:szCs w:val="28"/>
        </w:rPr>
        <w:t>联系电话：13844133644</w:t>
      </w:r>
      <w:r>
        <w:rPr>
          <w:rFonts w:hint="eastAsia" w:ascii="华文仿宋" w:hAnsi="华文仿宋" w:eastAsia="华文仿宋"/>
          <w:bCs/>
          <w:sz w:val="28"/>
          <w:szCs w:val="28"/>
        </w:rPr>
        <w:tab/>
      </w:r>
      <w:r>
        <w:rPr>
          <w:rFonts w:hint="eastAsia" w:ascii="华文仿宋" w:hAnsi="华文仿宋" w:eastAsia="华文仿宋"/>
          <w:bCs/>
          <w:sz w:val="28"/>
          <w:szCs w:val="28"/>
        </w:rPr>
        <w:br w:type="textWrapping"/>
      </w:r>
      <w:r>
        <w:rPr>
          <w:rFonts w:hint="eastAsia" w:ascii="华文仿宋" w:hAnsi="华文仿宋" w:eastAsia="华文仿宋"/>
          <w:bCs/>
          <w:sz w:val="28"/>
          <w:szCs w:val="28"/>
        </w:rPr>
        <w:t>电子邮箱：362980396@qq.com</w:t>
      </w:r>
    </w:p>
    <w:p>
      <w:pPr>
        <w:spacing w:line="276" w:lineRule="auto"/>
        <w:rPr>
          <w:rFonts w:ascii="华文仿宋" w:hAnsi="华文仿宋" w:eastAsia="华文仿宋"/>
          <w:b/>
          <w:sz w:val="28"/>
          <w:szCs w:val="28"/>
        </w:rPr>
      </w:pPr>
      <w:r>
        <w:rPr>
          <w:rFonts w:hint="eastAsia" w:ascii="华文仿宋" w:hAnsi="华文仿宋" w:eastAsia="华文仿宋"/>
          <w:b/>
          <w:sz w:val="28"/>
          <w:szCs w:val="28"/>
        </w:rPr>
        <w:t>1.7.报名方式</w:t>
      </w:r>
    </w:p>
    <w:p>
      <w:pPr>
        <w:spacing w:line="276" w:lineRule="auto"/>
        <w:ind w:firstLine="560" w:firstLineChars="200"/>
        <w:rPr>
          <w:rFonts w:ascii="华文仿宋" w:hAnsi="华文仿宋" w:eastAsia="华文仿宋"/>
          <w:bCs/>
          <w:sz w:val="28"/>
          <w:szCs w:val="28"/>
        </w:rPr>
      </w:pPr>
      <w:r>
        <w:rPr>
          <w:rFonts w:hint="eastAsia" w:ascii="华文仿宋" w:hAnsi="华文仿宋" w:eastAsia="华文仿宋"/>
          <w:bCs/>
          <w:sz w:val="28"/>
          <w:szCs w:val="28"/>
        </w:rPr>
        <w:t>拟参加本项目的供货商可携带相关资料到长春市九台区人民医院网络信息中心现场参加审核报名，也可邮寄至九台区人民医院网络信息中心进行报名。</w:t>
      </w:r>
    </w:p>
    <w:p>
      <w:pPr>
        <w:spacing w:line="276" w:lineRule="auto"/>
        <w:ind w:firstLine="560" w:firstLineChars="200"/>
        <w:rPr>
          <w:rFonts w:ascii="华文仿宋" w:hAnsi="华文仿宋" w:eastAsia="华文仿宋"/>
          <w:bCs/>
          <w:sz w:val="28"/>
          <w:szCs w:val="28"/>
        </w:rPr>
      </w:pPr>
    </w:p>
    <w:p>
      <w:pPr>
        <w:jc w:val="center"/>
        <w:rPr>
          <w:rFonts w:ascii="宋体" w:hAnsi="宋体"/>
          <w:b/>
          <w:bCs/>
          <w:color w:val="000000"/>
          <w:szCs w:val="21"/>
        </w:rPr>
      </w:pPr>
      <w:r>
        <w:rPr>
          <w:rFonts w:hint="eastAsia" w:ascii="宋体" w:hAnsi="宋体"/>
          <w:b/>
          <w:color w:val="000000"/>
          <w:sz w:val="28"/>
          <w:szCs w:val="21"/>
        </w:rPr>
        <w:t>第二部分 项目内容及参数</w:t>
      </w:r>
    </w:p>
    <w:p>
      <w:pPr>
        <w:pStyle w:val="6"/>
        <w:ind w:left="353" w:leftChars="95" w:hanging="154" w:hangingChars="55"/>
        <w:jc w:val="left"/>
        <w:outlineLvl w:val="1"/>
        <w:rPr>
          <w:rFonts w:ascii="华文仿宋" w:hAnsi="华文仿宋" w:eastAsia="华文仿宋"/>
          <w:b/>
          <w:sz w:val="28"/>
          <w:szCs w:val="28"/>
        </w:rPr>
      </w:pPr>
      <w:r>
        <w:rPr>
          <w:rFonts w:hint="eastAsia" w:ascii="华文仿宋" w:hAnsi="华文仿宋" w:eastAsia="华文仿宋"/>
          <w:b/>
          <w:sz w:val="28"/>
          <w:szCs w:val="28"/>
        </w:rPr>
        <w:t>2.1机房内部设备：</w:t>
      </w:r>
    </w:p>
    <w:tbl>
      <w:tblPr>
        <w:tblStyle w:val="8"/>
        <w:tblW w:w="8647" w:type="dxa"/>
        <w:tblInd w:w="-34" w:type="dxa"/>
        <w:tblLayout w:type="autofit"/>
        <w:tblCellMar>
          <w:top w:w="0" w:type="dxa"/>
          <w:left w:w="108" w:type="dxa"/>
          <w:bottom w:w="0" w:type="dxa"/>
          <w:right w:w="108" w:type="dxa"/>
        </w:tblCellMar>
      </w:tblPr>
      <w:tblGrid>
        <w:gridCol w:w="707"/>
        <w:gridCol w:w="3688"/>
        <w:gridCol w:w="992"/>
        <w:gridCol w:w="3260"/>
      </w:tblGrid>
      <w:tr>
        <w:tblPrEx>
          <w:tblCellMar>
            <w:top w:w="0" w:type="dxa"/>
            <w:left w:w="108" w:type="dxa"/>
            <w:bottom w:w="0" w:type="dxa"/>
            <w:right w:w="108" w:type="dxa"/>
          </w:tblCellMar>
        </w:tblPrEx>
        <w:trPr>
          <w:trHeight w:val="510" w:hRule="exact"/>
        </w:trPr>
        <w:tc>
          <w:tcPr>
            <w:tcW w:w="70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序号</w:t>
            </w:r>
          </w:p>
        </w:tc>
        <w:tc>
          <w:tcPr>
            <w:tcW w:w="3688"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名称</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数量</w:t>
            </w:r>
          </w:p>
        </w:tc>
        <w:tc>
          <w:tcPr>
            <w:tcW w:w="3260"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型号</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HIS-EMR数据库服务器</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华为rh5885hv3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PACS0RIS数据库服务器</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华为rh5885hv3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3</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虚拟化服务器(OA\综合管理应用等)</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华为rh5885hv3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4</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集成平台数据库服务器</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华为rh5885hv3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5</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ODR-CDR数据库服务器</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华为rh5885hv3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6</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容灾服务器</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华为rh5885hv3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7</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数据仓库服务器</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华为rh2288hv3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8</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虚拟化管理服务器</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华为rh2288hv3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9</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HIS-EMR-LIS数据存储设备</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华为OceanStor5500V3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10</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PACS-RIS-虚拟化存储设备</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华为OceanStor5500V3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11</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数据仓库存储</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华为OceanStor5500V3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12</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ODR-CDR数据库存储</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华为OceanStor5500V3</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13</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HIS平台光纤交换机</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华为OceanStor SNS 2124</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14</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光纤交换机</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华为OceanStor SNS 2248</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15</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核心交换机</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华为S12708</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16</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接入交换机</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4</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华为S5700-52P-LI-AC</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17</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30KW机房空调</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施耐德APC TuAR0921</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18</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机柜</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5</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图腾A36042</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19</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KVM</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三拓TL-1716</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20</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下一代防火墙</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网神NSG3500-TF20PHS</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21</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机房管理系统</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北塔EMonitor2.0</w:t>
            </w:r>
          </w:p>
        </w:tc>
      </w:tr>
      <w:tr>
        <w:tblPrEx>
          <w:tblCellMar>
            <w:top w:w="0" w:type="dxa"/>
            <w:left w:w="108" w:type="dxa"/>
            <w:bottom w:w="0" w:type="dxa"/>
            <w:right w:w="108" w:type="dxa"/>
          </w:tblCellMar>
        </w:tblPrEx>
        <w:trPr>
          <w:trHeight w:val="510" w:hRule="exact"/>
        </w:trPr>
        <w:tc>
          <w:tcPr>
            <w:tcW w:w="707"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22</w:t>
            </w:r>
          </w:p>
        </w:tc>
        <w:tc>
          <w:tcPr>
            <w:tcW w:w="3688"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上网行为管理</w:t>
            </w:r>
          </w:p>
        </w:tc>
        <w:tc>
          <w:tcPr>
            <w:tcW w:w="992"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nil"/>
              <w:left w:val="nil"/>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网康NI3100-D1</w:t>
            </w:r>
          </w:p>
        </w:tc>
      </w:tr>
      <w:tr>
        <w:tblPrEx>
          <w:tblCellMar>
            <w:top w:w="0" w:type="dxa"/>
            <w:left w:w="108" w:type="dxa"/>
            <w:bottom w:w="0" w:type="dxa"/>
            <w:right w:w="108" w:type="dxa"/>
          </w:tblCellMar>
        </w:tblPrEx>
        <w:trPr>
          <w:trHeight w:val="510" w:hRule="exact"/>
        </w:trPr>
        <w:tc>
          <w:tcPr>
            <w:tcW w:w="70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23</w:t>
            </w:r>
          </w:p>
        </w:tc>
        <w:tc>
          <w:tcPr>
            <w:tcW w:w="36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UPS</w:t>
            </w:r>
          </w:p>
        </w:tc>
        <w:tc>
          <w:tcPr>
            <w:tcW w:w="99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科士达EP80</w:t>
            </w:r>
          </w:p>
        </w:tc>
      </w:tr>
      <w:tr>
        <w:tblPrEx>
          <w:tblCellMar>
            <w:top w:w="0" w:type="dxa"/>
            <w:left w:w="108" w:type="dxa"/>
            <w:bottom w:w="0" w:type="dxa"/>
            <w:right w:w="108" w:type="dxa"/>
          </w:tblCellMar>
        </w:tblPrEx>
        <w:trPr>
          <w:trHeight w:val="510" w:hRule="exact"/>
        </w:trPr>
        <w:tc>
          <w:tcPr>
            <w:tcW w:w="70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24</w:t>
            </w:r>
          </w:p>
        </w:tc>
        <w:tc>
          <w:tcPr>
            <w:tcW w:w="36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服务器</w:t>
            </w:r>
          </w:p>
        </w:tc>
        <w:tc>
          <w:tcPr>
            <w:tcW w:w="99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联想</w:t>
            </w:r>
          </w:p>
        </w:tc>
      </w:tr>
      <w:tr>
        <w:tblPrEx>
          <w:tblCellMar>
            <w:top w:w="0" w:type="dxa"/>
            <w:left w:w="108" w:type="dxa"/>
            <w:bottom w:w="0" w:type="dxa"/>
            <w:right w:w="108" w:type="dxa"/>
          </w:tblCellMar>
        </w:tblPrEx>
        <w:trPr>
          <w:trHeight w:val="510" w:hRule="exact"/>
        </w:trPr>
        <w:tc>
          <w:tcPr>
            <w:tcW w:w="70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25</w:t>
            </w:r>
          </w:p>
        </w:tc>
        <w:tc>
          <w:tcPr>
            <w:tcW w:w="36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服务器</w:t>
            </w:r>
          </w:p>
        </w:tc>
        <w:tc>
          <w:tcPr>
            <w:tcW w:w="99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3</w:t>
            </w:r>
          </w:p>
        </w:tc>
        <w:tc>
          <w:tcPr>
            <w:tcW w:w="32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宝德</w:t>
            </w:r>
          </w:p>
        </w:tc>
      </w:tr>
      <w:tr>
        <w:tblPrEx>
          <w:tblCellMar>
            <w:top w:w="0" w:type="dxa"/>
            <w:left w:w="108" w:type="dxa"/>
            <w:bottom w:w="0" w:type="dxa"/>
            <w:right w:w="108" w:type="dxa"/>
          </w:tblCellMar>
        </w:tblPrEx>
        <w:trPr>
          <w:trHeight w:val="510" w:hRule="exact"/>
        </w:trPr>
        <w:tc>
          <w:tcPr>
            <w:tcW w:w="70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26</w:t>
            </w:r>
          </w:p>
        </w:tc>
        <w:tc>
          <w:tcPr>
            <w:tcW w:w="36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防火墙</w:t>
            </w:r>
          </w:p>
        </w:tc>
        <w:tc>
          <w:tcPr>
            <w:tcW w:w="99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防火墙</w:t>
            </w:r>
          </w:p>
        </w:tc>
      </w:tr>
      <w:tr>
        <w:tblPrEx>
          <w:tblCellMar>
            <w:top w:w="0" w:type="dxa"/>
            <w:left w:w="108" w:type="dxa"/>
            <w:bottom w:w="0" w:type="dxa"/>
            <w:right w:w="108" w:type="dxa"/>
          </w:tblCellMar>
        </w:tblPrEx>
        <w:trPr>
          <w:trHeight w:val="510" w:hRule="exact"/>
        </w:trPr>
        <w:tc>
          <w:tcPr>
            <w:tcW w:w="70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27</w:t>
            </w:r>
          </w:p>
        </w:tc>
        <w:tc>
          <w:tcPr>
            <w:tcW w:w="368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网闸</w:t>
            </w:r>
          </w:p>
        </w:tc>
        <w:tc>
          <w:tcPr>
            <w:tcW w:w="99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华文仿宋" w:hAnsi="华文仿宋" w:eastAsia="华文仿宋"/>
                <w:bCs/>
                <w:sz w:val="28"/>
                <w:szCs w:val="28"/>
              </w:rPr>
            </w:pPr>
            <w:r>
              <w:rPr>
                <w:rFonts w:hint="eastAsia" w:ascii="华文仿宋" w:hAnsi="华文仿宋" w:eastAsia="华文仿宋"/>
                <w:bCs/>
                <w:sz w:val="28"/>
                <w:szCs w:val="28"/>
              </w:rPr>
              <w:t>网闸</w:t>
            </w:r>
          </w:p>
        </w:tc>
      </w:tr>
    </w:tbl>
    <w:p>
      <w:pPr>
        <w:pStyle w:val="6"/>
        <w:ind w:left="353" w:leftChars="95" w:hanging="154" w:hangingChars="55"/>
        <w:jc w:val="left"/>
        <w:outlineLvl w:val="1"/>
        <w:rPr>
          <w:rFonts w:ascii="华文仿宋" w:hAnsi="华文仿宋" w:eastAsia="华文仿宋"/>
          <w:b/>
          <w:sz w:val="28"/>
          <w:szCs w:val="28"/>
        </w:rPr>
      </w:pPr>
      <w:r>
        <w:rPr>
          <w:rFonts w:hint="eastAsia" w:ascii="华文仿宋" w:hAnsi="华文仿宋" w:eastAsia="华文仿宋"/>
          <w:b/>
          <w:sz w:val="28"/>
          <w:szCs w:val="28"/>
        </w:rPr>
        <w:t>2.2楼层交换设备：</w:t>
      </w:r>
    </w:p>
    <w:tbl>
      <w:tblPr>
        <w:tblStyle w:val="8"/>
        <w:tblW w:w="8647" w:type="dxa"/>
        <w:tblInd w:w="-34" w:type="dxa"/>
        <w:tblLayout w:type="autofit"/>
        <w:tblCellMar>
          <w:top w:w="0" w:type="dxa"/>
          <w:left w:w="108" w:type="dxa"/>
          <w:bottom w:w="0" w:type="dxa"/>
          <w:right w:w="108" w:type="dxa"/>
        </w:tblCellMar>
      </w:tblPr>
      <w:tblGrid>
        <w:gridCol w:w="1207"/>
        <w:gridCol w:w="2337"/>
        <w:gridCol w:w="851"/>
        <w:gridCol w:w="992"/>
        <w:gridCol w:w="3260"/>
      </w:tblGrid>
      <w:tr>
        <w:tblPrEx>
          <w:tblCellMar>
            <w:top w:w="0" w:type="dxa"/>
            <w:left w:w="108" w:type="dxa"/>
            <w:bottom w:w="0" w:type="dxa"/>
            <w:right w:w="108" w:type="dxa"/>
          </w:tblCellMar>
        </w:tblPrEx>
        <w:trPr>
          <w:trHeight w:val="510" w:hRule="exact"/>
        </w:trPr>
        <w:tc>
          <w:tcPr>
            <w:tcW w:w="120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设备名称</w:t>
            </w:r>
          </w:p>
        </w:tc>
        <w:tc>
          <w:tcPr>
            <w:tcW w:w="233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设备规格型号</w:t>
            </w:r>
          </w:p>
        </w:tc>
        <w:tc>
          <w:tcPr>
            <w:tcW w:w="851"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单位</w:t>
            </w:r>
          </w:p>
        </w:tc>
        <w:tc>
          <w:tcPr>
            <w:tcW w:w="99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数量</w:t>
            </w:r>
          </w:p>
        </w:tc>
        <w:tc>
          <w:tcPr>
            <w:tcW w:w="326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安装位置</w:t>
            </w: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A区二层分设备间</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5500-28F</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A区五层分设备间</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3600-28-TP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A区八层分设备间</w:t>
            </w: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B区一层分设备间</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3600-28-TP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5500-28F</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B区二层手术室</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3600-28-TP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B区五层分设备间</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3600-28-TP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B区八层分设备间</w:t>
            </w: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C区一层分设备间</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3600-28-TP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C区二层分设备间</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3600-28-TP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C区三层分设备间</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3600-28-TP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5500-28F</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5800-32C</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E区一层分设备间</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3600-28F</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5500-28F</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5500-28F</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D区三层主机房</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7506E</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5500-28F</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甲传一层分设备间</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3600-28-TP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2</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bCs/>
                <w:sz w:val="28"/>
                <w:szCs w:val="28"/>
              </w:rPr>
            </w:pPr>
          </w:p>
        </w:tc>
      </w:tr>
      <w:tr>
        <w:tblPrEx>
          <w:tblCellMar>
            <w:top w:w="0" w:type="dxa"/>
            <w:left w:w="108" w:type="dxa"/>
            <w:bottom w:w="0" w:type="dxa"/>
            <w:right w:w="108" w:type="dxa"/>
          </w:tblCellMar>
        </w:tblPrEx>
        <w:trPr>
          <w:trHeight w:val="510" w:hRule="exact"/>
        </w:trPr>
        <w:tc>
          <w:tcPr>
            <w:tcW w:w="1207"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交换机</w:t>
            </w: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5500-28F</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乙传一层分设备间</w:t>
            </w:r>
          </w:p>
        </w:tc>
      </w:tr>
      <w:tr>
        <w:tblPrEx>
          <w:tblCellMar>
            <w:top w:w="0" w:type="dxa"/>
            <w:left w:w="108" w:type="dxa"/>
            <w:bottom w:w="0" w:type="dxa"/>
            <w:right w:w="108" w:type="dxa"/>
          </w:tblCellMar>
        </w:tblPrEx>
        <w:trPr>
          <w:trHeight w:val="510" w:hRule="exact"/>
        </w:trPr>
        <w:tc>
          <w:tcPr>
            <w:tcW w:w="1207"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color w:val="000000"/>
                <w:kern w:val="0"/>
                <w:sz w:val="22"/>
                <w:szCs w:val="22"/>
              </w:rPr>
            </w:pPr>
          </w:p>
        </w:tc>
        <w:tc>
          <w:tcPr>
            <w:tcW w:w="2337"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3600-52-TP</w:t>
            </w:r>
          </w:p>
        </w:tc>
        <w:tc>
          <w:tcPr>
            <w:tcW w:w="851"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台</w:t>
            </w:r>
          </w:p>
        </w:tc>
        <w:tc>
          <w:tcPr>
            <w:tcW w:w="992" w:type="dxa"/>
            <w:tcBorders>
              <w:top w:val="nil"/>
              <w:left w:val="nil"/>
              <w:bottom w:val="single" w:color="auto" w:sz="4" w:space="0"/>
              <w:right w:val="single" w:color="auto" w:sz="4" w:space="0"/>
            </w:tcBorders>
            <w:shd w:val="clear" w:color="auto" w:fill="auto"/>
            <w:noWrap/>
            <w:vAlign w:val="center"/>
          </w:tcPr>
          <w:p>
            <w:pPr>
              <w:widowControl/>
              <w:jc w:val="center"/>
              <w:rPr>
                <w:rFonts w:ascii="华文仿宋" w:hAnsi="华文仿宋" w:eastAsia="华文仿宋"/>
                <w:bCs/>
                <w:sz w:val="28"/>
                <w:szCs w:val="28"/>
              </w:rPr>
            </w:pPr>
            <w:r>
              <w:rPr>
                <w:rFonts w:hint="eastAsia" w:ascii="华文仿宋" w:hAnsi="华文仿宋" w:eastAsia="华文仿宋"/>
                <w:bCs/>
                <w:sz w:val="28"/>
                <w:szCs w:val="28"/>
              </w:rPr>
              <w:t>1</w:t>
            </w:r>
          </w:p>
        </w:tc>
        <w:tc>
          <w:tcPr>
            <w:tcW w:w="3260" w:type="dxa"/>
            <w:vMerge w:val="continue"/>
            <w:tcBorders>
              <w:top w:val="nil"/>
              <w:left w:val="single" w:color="auto" w:sz="4" w:space="0"/>
              <w:bottom w:val="single" w:color="000000" w:sz="4" w:space="0"/>
              <w:right w:val="single" w:color="auto" w:sz="4" w:space="0"/>
            </w:tcBorders>
            <w:vAlign w:val="center"/>
          </w:tcPr>
          <w:p>
            <w:pPr>
              <w:widowControl/>
              <w:jc w:val="left"/>
              <w:rPr>
                <w:rFonts w:ascii="华文仿宋" w:hAnsi="华文仿宋" w:eastAsia="华文仿宋"/>
                <w:color w:val="000000"/>
                <w:kern w:val="0"/>
                <w:sz w:val="22"/>
                <w:szCs w:val="22"/>
              </w:rPr>
            </w:pPr>
          </w:p>
        </w:tc>
      </w:tr>
    </w:tbl>
    <w:p>
      <w:pPr>
        <w:pStyle w:val="6"/>
        <w:ind w:left="353" w:leftChars="95" w:hanging="154" w:hangingChars="55"/>
        <w:jc w:val="left"/>
        <w:outlineLvl w:val="1"/>
        <w:rPr>
          <w:rFonts w:ascii="华文仿宋" w:hAnsi="华文仿宋" w:eastAsia="华文仿宋"/>
          <w:b/>
          <w:sz w:val="28"/>
          <w:szCs w:val="28"/>
        </w:rPr>
      </w:pPr>
      <w:r>
        <w:rPr>
          <w:rFonts w:hint="eastAsia" w:ascii="华文仿宋" w:hAnsi="华文仿宋" w:eastAsia="华文仿宋"/>
          <w:b/>
          <w:sz w:val="28"/>
          <w:szCs w:val="28"/>
        </w:rPr>
        <w:t>2.3终端准入设备参数：</w:t>
      </w:r>
    </w:p>
    <w:p>
      <w:pPr>
        <w:pStyle w:val="6"/>
        <w:ind w:left="0" w:firstLine="0" w:firstLineChars="0"/>
        <w:jc w:val="left"/>
        <w:rPr>
          <w:rFonts w:ascii="华文仿宋" w:hAnsi="华文仿宋" w:eastAsia="华文仿宋"/>
          <w:b/>
          <w:sz w:val="28"/>
          <w:szCs w:val="28"/>
        </w:rPr>
      </w:pPr>
      <w:r>
        <w:rPr>
          <w:rFonts w:hint="eastAsia" w:ascii="华文仿宋" w:hAnsi="华文仿宋" w:eastAsia="华文仿宋"/>
          <w:bCs/>
          <w:sz w:val="28"/>
          <w:szCs w:val="28"/>
        </w:rPr>
        <w:t>性能参数：网络层吞吐量（大包）：3.6Gb，应用层吞吐量：450Mb，IPSEC VPN加密性能（最高性能）：100Mb，支持用户数：800，准入终端数：800，包转发率：45Kpps，每秒新建连接数：4000，最大并发连接数：150000。</w:t>
      </w:r>
      <w:r>
        <w:rPr>
          <w:rFonts w:hint="eastAsia" w:ascii="华文仿宋" w:hAnsi="华文仿宋" w:eastAsia="华文仿宋"/>
          <w:bCs/>
          <w:sz w:val="28"/>
          <w:szCs w:val="28"/>
        </w:rPr>
        <w:br w:type="textWrapping"/>
      </w:r>
      <w:r>
        <w:rPr>
          <w:rFonts w:hint="eastAsia" w:ascii="华文仿宋" w:hAnsi="华文仿宋" w:eastAsia="华文仿宋"/>
          <w:bCs/>
          <w:sz w:val="28"/>
          <w:szCs w:val="28"/>
        </w:rPr>
        <w:t>硬件参数：规格：1U，内存大小：4G，硬盘容量：128G SSD，接口：6千兆电口。</w:t>
      </w:r>
      <w:r>
        <w:rPr>
          <w:rFonts w:hint="eastAsia" w:ascii="华文仿宋" w:hAnsi="华文仿宋" w:eastAsia="华文仿宋"/>
          <w:bCs/>
          <w:sz w:val="28"/>
          <w:szCs w:val="28"/>
        </w:rPr>
        <w:br w:type="textWrapping"/>
      </w:r>
      <w:r>
        <w:rPr>
          <w:rFonts w:hint="eastAsia" w:ascii="华文仿宋" w:hAnsi="华文仿宋" w:eastAsia="华文仿宋"/>
          <w:bCs/>
          <w:sz w:val="28"/>
          <w:szCs w:val="28"/>
        </w:rPr>
        <w:t>功能描述：支持Windows终端外联行为检查，包括：连接外网检查、PPPoE拨号检查、双网卡行为检查、无线网卡检查、链接非法WIFI检查（可设置合法WIFI白名单）、4G网卡检查、否使用非法网关（可设置合法网关白名单），对不满足检查要求的终端强制断网，支持向管理员告警，并弹窗提示用户；支持Windows桌面水印，支持设置水印的内容、透明度、密度，水印效果预览，离线时继续生效；支持与现有EDR产品实现联动，当检测到终端未安装EDR产品时，禁止上网并提示需要安装EDR终端软件；支持放通或封堵TCP\UDP端口、ICMP协议，可设置对所有IP或者指定IP执行，离线时继续生效；支持对终端应用联网管控，可设置禁止或允许访问互联网，禁止或允许访问指定IP地址，离线时继续生效；支持存储设备、网络设备、蓝牙设备、摄像头、打印机的使用管控；支持外设白名单，提供批量获取硬件ID的工具进行白名单配置；支持对U盘、移动硬盘设置可读写、拒绝、可读、告警；可对拷贝的文件内容以及插入和拔出行为的审计；含：全网行为管理系统软件V13.0(*1套);终端接入安全软件(*1套)，软件升级(*1年);产品质保(*1年)。</w:t>
      </w:r>
    </w:p>
    <w:p>
      <w:pPr>
        <w:pStyle w:val="6"/>
        <w:ind w:left="353" w:leftChars="95" w:hanging="154" w:hangingChars="55"/>
        <w:jc w:val="left"/>
        <w:outlineLvl w:val="1"/>
        <w:rPr>
          <w:rFonts w:ascii="华文仿宋" w:hAnsi="华文仿宋" w:eastAsia="华文仿宋"/>
          <w:b/>
          <w:sz w:val="28"/>
          <w:szCs w:val="28"/>
        </w:rPr>
      </w:pPr>
      <w:r>
        <w:rPr>
          <w:rFonts w:hint="eastAsia" w:ascii="华文仿宋" w:hAnsi="华文仿宋" w:eastAsia="华文仿宋"/>
          <w:b/>
          <w:sz w:val="28"/>
          <w:szCs w:val="28"/>
        </w:rPr>
        <w:t>2.4杀毒软件升级要求：</w:t>
      </w:r>
    </w:p>
    <w:p>
      <w:pPr>
        <w:pStyle w:val="6"/>
        <w:ind w:left="0" w:firstLine="560" w:firstLineChars="200"/>
        <w:jc w:val="left"/>
        <w:rPr>
          <w:rFonts w:ascii="华文仿宋" w:hAnsi="华文仿宋" w:eastAsia="华文仿宋"/>
          <w:bCs/>
          <w:sz w:val="28"/>
          <w:szCs w:val="28"/>
        </w:rPr>
      </w:pPr>
      <w:r>
        <w:rPr>
          <w:rFonts w:hint="eastAsia" w:ascii="华文仿宋" w:hAnsi="华文仿宋" w:eastAsia="华文仿宋"/>
          <w:bCs/>
          <w:sz w:val="28"/>
          <w:szCs w:val="28"/>
        </w:rPr>
        <w:t>原有深信服杀毒软件EDR（SN:20654604247）1年升级服务，U口管理，实施服务。</w:t>
      </w:r>
    </w:p>
    <w:p>
      <w:pPr>
        <w:pStyle w:val="6"/>
        <w:ind w:left="320" w:leftChars="95" w:hanging="121" w:hangingChars="55"/>
        <w:jc w:val="left"/>
        <w:outlineLvl w:val="1"/>
        <w:rPr>
          <w:rFonts w:ascii="宋体" w:hAnsi="宋体" w:cs="宋体"/>
          <w:color w:val="000000"/>
          <w:kern w:val="0"/>
          <w:sz w:val="22"/>
          <w:szCs w:val="22"/>
          <w:lang w:bidi="ar"/>
        </w:rPr>
      </w:pPr>
    </w:p>
    <w:p>
      <w:pPr>
        <w:pStyle w:val="6"/>
        <w:ind w:left="353" w:leftChars="95" w:hanging="154" w:hangingChars="55"/>
        <w:jc w:val="left"/>
        <w:outlineLvl w:val="1"/>
        <w:rPr>
          <w:rFonts w:ascii="华文仿宋" w:hAnsi="华文仿宋" w:eastAsia="华文仿宋"/>
          <w:b/>
          <w:sz w:val="28"/>
          <w:szCs w:val="28"/>
        </w:rPr>
      </w:pPr>
      <w:r>
        <w:rPr>
          <w:rFonts w:hint="eastAsia" w:ascii="华文仿宋" w:hAnsi="华文仿宋" w:eastAsia="华文仿宋"/>
          <w:b/>
          <w:sz w:val="28"/>
          <w:szCs w:val="28"/>
        </w:rPr>
        <w:t>2.5服务要求：</w:t>
      </w:r>
    </w:p>
    <w:p>
      <w:pPr>
        <w:pStyle w:val="6"/>
        <w:ind w:left="0" w:firstLine="560" w:firstLineChars="200"/>
        <w:jc w:val="left"/>
        <w:rPr>
          <w:rFonts w:ascii="华文仿宋" w:hAnsi="华文仿宋" w:eastAsia="华文仿宋"/>
          <w:bCs/>
          <w:sz w:val="28"/>
          <w:szCs w:val="28"/>
        </w:rPr>
      </w:pPr>
      <w:r>
        <w:rPr>
          <w:rFonts w:hint="eastAsia" w:ascii="华文仿宋" w:hAnsi="华文仿宋" w:eastAsia="华文仿宋"/>
          <w:bCs/>
          <w:sz w:val="28"/>
          <w:szCs w:val="28"/>
        </w:rPr>
        <w:t>一年12次常规上门巡检，处理故障不限次数，24小时现场服务，重大节日4次驻场服务。必要情况下，根据用户要求提供备机备件，包括且不限于防火墙、交换机、服务器、上网行为管理设备等。</w:t>
      </w:r>
    </w:p>
    <w:p>
      <w:pPr>
        <w:pStyle w:val="6"/>
        <w:ind w:left="320" w:leftChars="95" w:hanging="121" w:hangingChars="55"/>
        <w:jc w:val="left"/>
        <w:outlineLvl w:val="1"/>
        <w:rPr>
          <w:rFonts w:ascii="宋体" w:hAnsi="宋体" w:cs="宋体"/>
          <w:color w:val="000000"/>
          <w:kern w:val="0"/>
          <w:sz w:val="22"/>
          <w:szCs w:val="22"/>
          <w:lang w:bidi="ar"/>
        </w:rPr>
      </w:pPr>
    </w:p>
    <w:p>
      <w:pPr>
        <w:pStyle w:val="6"/>
        <w:ind w:left="320" w:leftChars="95" w:hanging="121" w:hangingChars="55"/>
        <w:jc w:val="left"/>
        <w:outlineLvl w:val="1"/>
        <w:rPr>
          <w:rFonts w:ascii="宋体" w:hAnsi="宋体" w:cs="宋体"/>
          <w:color w:val="000000"/>
          <w:kern w:val="0"/>
          <w:sz w:val="22"/>
          <w:szCs w:val="22"/>
          <w:lang w:bidi="ar"/>
        </w:rPr>
      </w:pPr>
    </w:p>
    <w:p>
      <w:pPr>
        <w:pStyle w:val="6"/>
        <w:ind w:left="0" w:firstLine="0" w:firstLineChars="0"/>
        <w:jc w:val="left"/>
        <w:rPr>
          <w:rFonts w:ascii="华文仿宋" w:hAnsi="华文仿宋" w:eastAsia="华文仿宋"/>
          <w:b/>
          <w:sz w:val="28"/>
          <w:szCs w:val="28"/>
        </w:rPr>
      </w:pPr>
    </w:p>
    <w:p>
      <w:pPr>
        <w:pStyle w:val="7"/>
        <w:ind w:firstLine="0" w:firstLineChars="0"/>
      </w:pPr>
    </w:p>
    <w:sectPr>
      <w:pgSz w:w="11906" w:h="16838"/>
      <w:pgMar w:top="1077" w:right="1644" w:bottom="1077"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jZDc1MWI4OGRkZDQzZDEwYjFkZWU3MTY0NmFkZDUifQ=="/>
  </w:docVars>
  <w:rsids>
    <w:rsidRoot w:val="002261C9"/>
    <w:rsid w:val="000041D2"/>
    <w:rsid w:val="00092C4C"/>
    <w:rsid w:val="000B5C5F"/>
    <w:rsid w:val="000C7688"/>
    <w:rsid w:val="000D34D1"/>
    <w:rsid w:val="000E3947"/>
    <w:rsid w:val="000E7494"/>
    <w:rsid w:val="000F0511"/>
    <w:rsid w:val="0011650B"/>
    <w:rsid w:val="001A3843"/>
    <w:rsid w:val="001B438C"/>
    <w:rsid w:val="00216B61"/>
    <w:rsid w:val="002261C9"/>
    <w:rsid w:val="002C1772"/>
    <w:rsid w:val="002D65BC"/>
    <w:rsid w:val="00326545"/>
    <w:rsid w:val="00395F53"/>
    <w:rsid w:val="003C7076"/>
    <w:rsid w:val="003D6215"/>
    <w:rsid w:val="003F6B92"/>
    <w:rsid w:val="004126CB"/>
    <w:rsid w:val="00451458"/>
    <w:rsid w:val="0045565D"/>
    <w:rsid w:val="00456DA8"/>
    <w:rsid w:val="00456E05"/>
    <w:rsid w:val="00464C63"/>
    <w:rsid w:val="004B3C7E"/>
    <w:rsid w:val="00536272"/>
    <w:rsid w:val="005370E7"/>
    <w:rsid w:val="00552424"/>
    <w:rsid w:val="005A31A1"/>
    <w:rsid w:val="005C4FF3"/>
    <w:rsid w:val="005D7A2C"/>
    <w:rsid w:val="005F50C6"/>
    <w:rsid w:val="00634730"/>
    <w:rsid w:val="00665C16"/>
    <w:rsid w:val="00685A79"/>
    <w:rsid w:val="007461E8"/>
    <w:rsid w:val="00771A37"/>
    <w:rsid w:val="00796E2A"/>
    <w:rsid w:val="007D3D3B"/>
    <w:rsid w:val="007F6BE8"/>
    <w:rsid w:val="00873436"/>
    <w:rsid w:val="008808F2"/>
    <w:rsid w:val="00890B21"/>
    <w:rsid w:val="00897C29"/>
    <w:rsid w:val="008C75EA"/>
    <w:rsid w:val="00913CDF"/>
    <w:rsid w:val="009C2530"/>
    <w:rsid w:val="009F153C"/>
    <w:rsid w:val="00A261EA"/>
    <w:rsid w:val="00A76DF7"/>
    <w:rsid w:val="00A77B86"/>
    <w:rsid w:val="00A86075"/>
    <w:rsid w:val="00AA02A3"/>
    <w:rsid w:val="00B003D9"/>
    <w:rsid w:val="00B23344"/>
    <w:rsid w:val="00B97C4E"/>
    <w:rsid w:val="00BC668B"/>
    <w:rsid w:val="00C1197E"/>
    <w:rsid w:val="00C56EF5"/>
    <w:rsid w:val="00C60FE1"/>
    <w:rsid w:val="00C9419D"/>
    <w:rsid w:val="00CB1482"/>
    <w:rsid w:val="00CD0007"/>
    <w:rsid w:val="00D02681"/>
    <w:rsid w:val="00D07CE8"/>
    <w:rsid w:val="00D84998"/>
    <w:rsid w:val="00D865F9"/>
    <w:rsid w:val="00D95333"/>
    <w:rsid w:val="00DB49FF"/>
    <w:rsid w:val="00E227B1"/>
    <w:rsid w:val="00E440AA"/>
    <w:rsid w:val="00E57BDB"/>
    <w:rsid w:val="00E6409F"/>
    <w:rsid w:val="00E73D99"/>
    <w:rsid w:val="00ED282B"/>
    <w:rsid w:val="00EE3F1D"/>
    <w:rsid w:val="00F26B56"/>
    <w:rsid w:val="00FE0964"/>
    <w:rsid w:val="098366BD"/>
    <w:rsid w:val="613858C4"/>
    <w:rsid w:val="779949B2"/>
    <w:rsid w:val="7A676BDD"/>
    <w:rsid w:val="F3FF01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w:basedOn w:val="1"/>
    <w:link w:val="13"/>
    <w:semiHidden/>
    <w:unhideWhenUsed/>
    <w:uiPriority w:val="99"/>
    <w:pPr>
      <w:spacing w:after="120"/>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List"/>
    <w:basedOn w:val="1"/>
    <w:qFormat/>
    <w:uiPriority w:val="0"/>
    <w:pPr>
      <w:ind w:left="200" w:hanging="200" w:hangingChars="200"/>
    </w:pPr>
  </w:style>
  <w:style w:type="paragraph" w:styleId="7">
    <w:name w:val="Body Text First Indent"/>
    <w:basedOn w:val="2"/>
    <w:link w:val="14"/>
    <w:qFormat/>
    <w:uiPriority w:val="0"/>
    <w:pPr>
      <w:widowControl/>
      <w:spacing w:line="276" w:lineRule="auto"/>
      <w:ind w:firstLine="420" w:firstLineChars="100"/>
      <w:jc w:val="left"/>
    </w:pPr>
    <w:rPr>
      <w:rFonts w:ascii="Calibri" w:hAnsi="Calibri"/>
      <w:kern w:val="0"/>
      <w:sz w:val="22"/>
      <w:szCs w:val="22"/>
      <w:lang w:eastAsia="en-US"/>
    </w:rPr>
  </w:style>
  <w:style w:type="table" w:styleId="9">
    <w:name w:val="Table Grid"/>
    <w:basedOn w:val="8"/>
    <w:qFormat/>
    <w:uiPriority w:val="0"/>
    <w:pPr>
      <w:widowControl w:val="0"/>
      <w:jc w:val="both"/>
    </w:pPr>
    <w:rPr>
      <w:rFonts w:ascii="Calibri" w:hAnsi="Calibri"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页眉 Char"/>
    <w:basedOn w:val="10"/>
    <w:link w:val="5"/>
    <w:uiPriority w:val="99"/>
    <w:rPr>
      <w:sz w:val="18"/>
      <w:szCs w:val="18"/>
    </w:rPr>
  </w:style>
  <w:style w:type="character" w:customStyle="1" w:styleId="12">
    <w:name w:val="页脚 Char"/>
    <w:basedOn w:val="10"/>
    <w:link w:val="4"/>
    <w:qFormat/>
    <w:uiPriority w:val="99"/>
    <w:rPr>
      <w:sz w:val="18"/>
      <w:szCs w:val="18"/>
    </w:rPr>
  </w:style>
  <w:style w:type="character" w:customStyle="1" w:styleId="13">
    <w:name w:val="正文文本 Char"/>
    <w:basedOn w:val="10"/>
    <w:link w:val="2"/>
    <w:semiHidden/>
    <w:qFormat/>
    <w:uiPriority w:val="99"/>
    <w:rPr>
      <w:rFonts w:ascii="Times New Roman" w:hAnsi="Times New Roman" w:eastAsia="宋体" w:cs="Times New Roman"/>
      <w:szCs w:val="24"/>
    </w:rPr>
  </w:style>
  <w:style w:type="character" w:customStyle="1" w:styleId="14">
    <w:name w:val="正文首行缩进 Char"/>
    <w:basedOn w:val="13"/>
    <w:link w:val="7"/>
    <w:qFormat/>
    <w:uiPriority w:val="0"/>
    <w:rPr>
      <w:rFonts w:ascii="Calibri" w:hAnsi="Calibri" w:eastAsia="宋体" w:cs="Times New Roman"/>
      <w:kern w:val="0"/>
      <w:sz w:val="22"/>
      <w:szCs w:val="24"/>
      <w:lang w:eastAsia="en-US"/>
    </w:rPr>
  </w:style>
  <w:style w:type="paragraph" w:styleId="15">
    <w:name w:val="List Paragraph"/>
    <w:basedOn w:val="1"/>
    <w:qFormat/>
    <w:uiPriority w:val="99"/>
    <w:pPr>
      <w:ind w:firstLine="420" w:firstLineChars="200"/>
    </w:pPr>
    <w:rPr>
      <w:szCs w:val="20"/>
    </w:rPr>
  </w:style>
  <w:style w:type="character" w:customStyle="1" w:styleId="16">
    <w:name w:val="批注框文本 Char"/>
    <w:basedOn w:val="10"/>
    <w:link w:val="3"/>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594</Words>
  <Characters>3392</Characters>
  <Lines>28</Lines>
  <Paragraphs>7</Paragraphs>
  <TotalTime>1</TotalTime>
  <ScaleCrop>false</ScaleCrop>
  <LinksUpToDate>false</LinksUpToDate>
  <CharactersWithSpaces>3979</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2023-12-18T00:24:00Z</dcterms:created>
  <dc:creator>fzj</dc:creator>
  <cp:lastModifiedBy>小张</cp:lastModifiedBy>
  <cp:lastPrinted>2019-10-31T03:25:00Z</cp:lastPrinted>
  <dcterms:modified xsi:type="dcterms:W3CDTF">2023-12-18T00:33:46Z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8169857A13314853A83FC3125183888A_13</vt:lpwstr>
  </property>
</Properties>
</file>